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361" w:rsidRPr="00081417" w:rsidRDefault="00081417" w:rsidP="00081417">
      <w:pPr>
        <w:jc w:val="center"/>
        <w:rPr>
          <w:b/>
          <w:sz w:val="28"/>
        </w:rPr>
      </w:pPr>
      <w:r w:rsidRPr="00081417">
        <w:rPr>
          <w:b/>
          <w:sz w:val="28"/>
        </w:rPr>
        <w:t>3 Learning Group Strategies</w:t>
      </w:r>
    </w:p>
    <w:tbl>
      <w:tblPr>
        <w:tblW w:w="13950" w:type="dxa"/>
        <w:jc w:val="center"/>
        <w:tblCellMar>
          <w:left w:w="0" w:type="dxa"/>
          <w:right w:w="0" w:type="dxa"/>
        </w:tblCellMar>
        <w:tblLook w:val="04A0" w:firstRow="1" w:lastRow="0" w:firstColumn="1" w:lastColumn="0" w:noHBand="0" w:noVBand="1"/>
      </w:tblPr>
      <w:tblGrid>
        <w:gridCol w:w="1800"/>
        <w:gridCol w:w="3870"/>
        <w:gridCol w:w="4230"/>
        <w:gridCol w:w="4050"/>
      </w:tblGrid>
      <w:tr w:rsidR="00D665F9" w:rsidRPr="00081417" w:rsidTr="00D665F9">
        <w:trPr>
          <w:trHeight w:val="386"/>
          <w:jc w:val="center"/>
        </w:trPr>
        <w:tc>
          <w:tcPr>
            <w:tcW w:w="1800" w:type="dxa"/>
            <w:tcBorders>
              <w:top w:val="single" w:sz="8" w:space="0" w:color="4472C4"/>
              <w:left w:val="single" w:sz="8" w:space="0" w:color="4472C4"/>
              <w:bottom w:val="single" w:sz="8" w:space="0" w:color="4472C4"/>
              <w:right w:val="single" w:sz="8" w:space="0" w:color="4472C4"/>
            </w:tcBorders>
            <w:shd w:val="clear" w:color="auto" w:fill="E9EBF5"/>
          </w:tcPr>
          <w:p w:rsidR="00D665F9" w:rsidRPr="00D665F9" w:rsidRDefault="00D665F9" w:rsidP="00D665F9">
            <w:pPr>
              <w:spacing w:line="256" w:lineRule="auto"/>
              <w:rPr>
                <w:rFonts w:ascii="Calibri" w:eastAsia="Times New Roman" w:hAnsi="Calibri" w:cs="Arial"/>
                <w:b/>
                <w:bCs/>
                <w:color w:val="000000"/>
                <w:kern w:val="24"/>
                <w:szCs w:val="24"/>
              </w:rPr>
            </w:pPr>
            <w:r w:rsidRPr="00D665F9">
              <w:rPr>
                <w:rFonts w:ascii="Calibri" w:eastAsia="Times New Roman" w:hAnsi="Calibri" w:cs="Arial"/>
                <w:b/>
                <w:bCs/>
                <w:color w:val="000000"/>
                <w:kern w:val="24"/>
                <w:szCs w:val="24"/>
              </w:rPr>
              <w:t>Strategy</w:t>
            </w:r>
          </w:p>
        </w:tc>
        <w:tc>
          <w:tcPr>
            <w:tcW w:w="387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vAlign w:val="center"/>
            <w:hideMark/>
          </w:tcPr>
          <w:p w:rsidR="00D665F9" w:rsidRPr="00081417" w:rsidRDefault="00D665F9" w:rsidP="00081417">
            <w:pPr>
              <w:spacing w:line="256" w:lineRule="auto"/>
              <w:jc w:val="center"/>
              <w:rPr>
                <w:rFonts w:ascii="Arial" w:eastAsia="Times New Roman" w:hAnsi="Arial" w:cs="Arial"/>
                <w:szCs w:val="24"/>
              </w:rPr>
            </w:pPr>
            <w:r w:rsidRPr="00081417">
              <w:rPr>
                <w:rFonts w:ascii="Calibri" w:eastAsia="Times New Roman" w:hAnsi="Calibri" w:cs="Arial"/>
                <w:b/>
                <w:bCs/>
                <w:color w:val="000000"/>
                <w:kern w:val="24"/>
                <w:szCs w:val="24"/>
              </w:rPr>
              <w:t>Problem-Solving Partnerships</w:t>
            </w:r>
          </w:p>
        </w:tc>
        <w:tc>
          <w:tcPr>
            <w:tcW w:w="423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vAlign w:val="center"/>
            <w:hideMark/>
          </w:tcPr>
          <w:p w:rsidR="00D665F9" w:rsidRPr="00081417" w:rsidRDefault="00D665F9" w:rsidP="00081417">
            <w:pPr>
              <w:spacing w:line="256" w:lineRule="auto"/>
              <w:jc w:val="center"/>
              <w:rPr>
                <w:rFonts w:ascii="Arial" w:eastAsia="Times New Roman" w:hAnsi="Arial" w:cs="Arial"/>
                <w:szCs w:val="24"/>
              </w:rPr>
            </w:pPr>
            <w:r w:rsidRPr="00081417">
              <w:rPr>
                <w:rFonts w:ascii="Calibri" w:eastAsia="Times New Roman" w:hAnsi="Calibri" w:cs="Arial"/>
                <w:b/>
                <w:bCs/>
                <w:color w:val="000000"/>
                <w:kern w:val="24"/>
                <w:szCs w:val="24"/>
              </w:rPr>
              <w:t>Cooperative Teams</w:t>
            </w:r>
          </w:p>
        </w:tc>
        <w:tc>
          <w:tcPr>
            <w:tcW w:w="405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vAlign w:val="center"/>
            <w:hideMark/>
          </w:tcPr>
          <w:p w:rsidR="00D665F9" w:rsidRPr="00081417" w:rsidRDefault="00D665F9" w:rsidP="00081417">
            <w:pPr>
              <w:spacing w:line="256" w:lineRule="auto"/>
              <w:jc w:val="center"/>
              <w:rPr>
                <w:rFonts w:ascii="Arial" w:eastAsia="Times New Roman" w:hAnsi="Arial" w:cs="Arial"/>
                <w:szCs w:val="24"/>
              </w:rPr>
            </w:pPr>
            <w:r w:rsidRPr="00081417">
              <w:rPr>
                <w:rFonts w:ascii="Calibri" w:eastAsia="Times New Roman" w:hAnsi="Calibri" w:cs="Arial"/>
                <w:b/>
                <w:bCs/>
                <w:color w:val="000000"/>
                <w:kern w:val="24"/>
                <w:szCs w:val="24"/>
              </w:rPr>
              <w:t>Collaborative Groups</w:t>
            </w:r>
          </w:p>
        </w:tc>
      </w:tr>
      <w:tr w:rsidR="00D665F9" w:rsidRPr="00081417" w:rsidTr="00D665F9">
        <w:trPr>
          <w:trHeight w:val="544"/>
          <w:jc w:val="center"/>
        </w:trPr>
        <w:tc>
          <w:tcPr>
            <w:tcW w:w="1800" w:type="dxa"/>
            <w:tcBorders>
              <w:top w:val="single" w:sz="8" w:space="0" w:color="4472C4"/>
              <w:left w:val="single" w:sz="8" w:space="0" w:color="4472C4"/>
              <w:bottom w:val="single" w:sz="8" w:space="0" w:color="4472C4"/>
              <w:right w:val="single" w:sz="8" w:space="0" w:color="4472C4"/>
            </w:tcBorders>
            <w:shd w:val="clear" w:color="auto" w:fill="CFD5EA"/>
          </w:tcPr>
          <w:p w:rsidR="00D665F9" w:rsidRPr="00D665F9" w:rsidRDefault="00D665F9" w:rsidP="00081417">
            <w:pPr>
              <w:spacing w:after="0" w:line="256" w:lineRule="auto"/>
              <w:rPr>
                <w:rFonts w:ascii="Calibri" w:eastAsia="Times New Roman" w:hAnsi="Calibri" w:cs="Arial"/>
                <w:b/>
                <w:bCs/>
                <w:color w:val="000000"/>
                <w:kern w:val="24"/>
                <w:szCs w:val="24"/>
              </w:rPr>
            </w:pPr>
            <w:r w:rsidRPr="00D665F9">
              <w:rPr>
                <w:rFonts w:ascii="Calibri" w:eastAsia="Times New Roman" w:hAnsi="Calibri" w:cs="Arial"/>
                <w:b/>
                <w:bCs/>
                <w:color w:val="000000"/>
                <w:kern w:val="24"/>
                <w:szCs w:val="24"/>
              </w:rPr>
              <w:t>Group Size</w:t>
            </w:r>
          </w:p>
        </w:tc>
        <w:tc>
          <w:tcPr>
            <w:tcW w:w="387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sidRPr="00081417">
              <w:rPr>
                <w:rFonts w:ascii="Calibri" w:eastAsia="Times New Roman" w:hAnsi="Calibri" w:cs="Arial"/>
                <w:bCs/>
                <w:color w:val="000000"/>
                <w:kern w:val="24"/>
                <w:szCs w:val="24"/>
              </w:rPr>
              <w:t>Two to three students per group.</w:t>
            </w:r>
          </w:p>
        </w:tc>
        <w:tc>
          <w:tcPr>
            <w:tcW w:w="423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sidRPr="00081417">
              <w:rPr>
                <w:rFonts w:ascii="Calibri" w:eastAsia="Times New Roman" w:hAnsi="Calibri" w:cs="Arial"/>
                <w:bCs/>
                <w:color w:val="000000"/>
                <w:kern w:val="24"/>
                <w:szCs w:val="24"/>
              </w:rPr>
              <w:t>Three to four students per group.</w:t>
            </w:r>
          </w:p>
        </w:tc>
        <w:tc>
          <w:tcPr>
            <w:tcW w:w="405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sidRPr="00081417">
              <w:rPr>
                <w:rFonts w:ascii="Calibri" w:eastAsia="Times New Roman" w:hAnsi="Calibri" w:cs="Arial"/>
                <w:bCs/>
                <w:color w:val="000000"/>
                <w:kern w:val="24"/>
                <w:szCs w:val="24"/>
              </w:rPr>
              <w:t>Three to six students per group.</w:t>
            </w:r>
          </w:p>
        </w:tc>
      </w:tr>
      <w:tr w:rsidR="00D665F9" w:rsidRPr="00081417" w:rsidTr="00D665F9">
        <w:trPr>
          <w:trHeight w:val="787"/>
          <w:jc w:val="center"/>
        </w:trPr>
        <w:tc>
          <w:tcPr>
            <w:tcW w:w="1800" w:type="dxa"/>
            <w:tcBorders>
              <w:top w:val="single" w:sz="8" w:space="0" w:color="4472C4"/>
              <w:left w:val="single" w:sz="8" w:space="0" w:color="4472C4"/>
              <w:bottom w:val="single" w:sz="8" w:space="0" w:color="4472C4"/>
              <w:right w:val="single" w:sz="8" w:space="0" w:color="4472C4"/>
            </w:tcBorders>
            <w:shd w:val="clear" w:color="auto" w:fill="E9EBF5"/>
          </w:tcPr>
          <w:p w:rsidR="00D665F9" w:rsidRPr="00D665F9" w:rsidRDefault="00D665F9" w:rsidP="00081417">
            <w:pPr>
              <w:spacing w:after="0" w:line="256" w:lineRule="auto"/>
              <w:rPr>
                <w:rFonts w:ascii="Calibri" w:eastAsia="Times New Roman" w:hAnsi="Calibri" w:cs="Arial"/>
                <w:b/>
                <w:bCs/>
                <w:color w:val="000000"/>
                <w:kern w:val="24"/>
                <w:szCs w:val="24"/>
              </w:rPr>
            </w:pPr>
            <w:r w:rsidRPr="00D665F9">
              <w:rPr>
                <w:rFonts w:ascii="Calibri" w:eastAsia="Times New Roman" w:hAnsi="Calibri" w:cs="Arial"/>
                <w:b/>
                <w:bCs/>
                <w:color w:val="000000"/>
                <w:kern w:val="24"/>
                <w:szCs w:val="24"/>
              </w:rPr>
              <w:t>Duration</w:t>
            </w:r>
          </w:p>
        </w:tc>
        <w:tc>
          <w:tcPr>
            <w:tcW w:w="387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S</w:t>
            </w:r>
            <w:r w:rsidRPr="00081417">
              <w:rPr>
                <w:rFonts w:ascii="Calibri" w:eastAsia="Times New Roman" w:hAnsi="Calibri" w:cs="Arial"/>
                <w:bCs/>
                <w:color w:val="000000"/>
                <w:kern w:val="24"/>
                <w:szCs w:val="24"/>
              </w:rPr>
              <w:t>hort (part of a class period to a few days).</w:t>
            </w:r>
          </w:p>
        </w:tc>
        <w:tc>
          <w:tcPr>
            <w:tcW w:w="423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R</w:t>
            </w:r>
            <w:r w:rsidRPr="00081417">
              <w:rPr>
                <w:rFonts w:ascii="Calibri" w:eastAsia="Times New Roman" w:hAnsi="Calibri" w:cs="Arial"/>
                <w:bCs/>
                <w:color w:val="000000"/>
                <w:kern w:val="24"/>
                <w:szCs w:val="24"/>
              </w:rPr>
              <w:t>anges from several days to several weeks.</w:t>
            </w:r>
          </w:p>
        </w:tc>
        <w:tc>
          <w:tcPr>
            <w:tcW w:w="405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vAlign w:val="cente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S</w:t>
            </w:r>
            <w:r w:rsidRPr="00081417">
              <w:rPr>
                <w:rFonts w:ascii="Calibri" w:eastAsia="Times New Roman" w:hAnsi="Calibri" w:cs="Arial"/>
                <w:bCs/>
                <w:color w:val="000000"/>
                <w:kern w:val="24"/>
                <w:szCs w:val="24"/>
              </w:rPr>
              <w:t>hort (days) or longer (weeks or even months).</w:t>
            </w:r>
          </w:p>
        </w:tc>
        <w:bookmarkStart w:id="0" w:name="_GoBack"/>
        <w:bookmarkEnd w:id="0"/>
      </w:tr>
      <w:tr w:rsidR="00D665F9" w:rsidRPr="00081417" w:rsidTr="00D665F9">
        <w:trPr>
          <w:trHeight w:val="1156"/>
          <w:jc w:val="center"/>
        </w:trPr>
        <w:tc>
          <w:tcPr>
            <w:tcW w:w="1800" w:type="dxa"/>
            <w:tcBorders>
              <w:top w:val="single" w:sz="8" w:space="0" w:color="4472C4"/>
              <w:left w:val="single" w:sz="8" w:space="0" w:color="4472C4"/>
              <w:bottom w:val="single" w:sz="8" w:space="0" w:color="4472C4"/>
              <w:right w:val="single" w:sz="8" w:space="0" w:color="4472C4"/>
            </w:tcBorders>
            <w:shd w:val="clear" w:color="auto" w:fill="CFD5EA"/>
          </w:tcPr>
          <w:p w:rsidR="00D665F9" w:rsidRPr="00D665F9" w:rsidRDefault="00D665F9" w:rsidP="00081417">
            <w:pPr>
              <w:spacing w:after="0" w:line="256" w:lineRule="auto"/>
              <w:rPr>
                <w:rFonts w:ascii="Calibri" w:eastAsia="Times New Roman" w:hAnsi="Calibri" w:cs="Arial"/>
                <w:b/>
                <w:bCs/>
                <w:color w:val="000000"/>
                <w:kern w:val="24"/>
                <w:szCs w:val="24"/>
              </w:rPr>
            </w:pPr>
            <w:r w:rsidRPr="00D665F9">
              <w:rPr>
                <w:rFonts w:ascii="Calibri" w:eastAsia="Times New Roman" w:hAnsi="Calibri" w:cs="Arial"/>
                <w:b/>
                <w:bCs/>
                <w:color w:val="000000"/>
                <w:kern w:val="24"/>
                <w:szCs w:val="24"/>
              </w:rPr>
              <w:t>Task or Problem</w:t>
            </w:r>
          </w:p>
        </w:tc>
        <w:tc>
          <w:tcPr>
            <w:tcW w:w="387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T</w:t>
            </w:r>
            <w:r w:rsidRPr="00081417">
              <w:rPr>
                <w:rFonts w:ascii="Calibri" w:eastAsia="Times New Roman" w:hAnsi="Calibri" w:cs="Arial"/>
                <w:bCs/>
                <w:color w:val="000000"/>
                <w:kern w:val="24"/>
                <w:szCs w:val="24"/>
              </w:rPr>
              <w:t>o solve is limited in scope (a single problem or question or a limited set) and is usually a challenge or practice activity for students to apply recent learning.</w:t>
            </w:r>
          </w:p>
        </w:tc>
        <w:tc>
          <w:tcPr>
            <w:tcW w:w="423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C</w:t>
            </w:r>
            <w:r w:rsidRPr="00081417">
              <w:rPr>
                <w:rFonts w:ascii="Calibri" w:eastAsia="Times New Roman" w:hAnsi="Calibri" w:cs="Arial"/>
                <w:bCs/>
                <w:color w:val="000000"/>
                <w:kern w:val="24"/>
                <w:szCs w:val="24"/>
              </w:rPr>
              <w:t>learly defined by the teacher.</w:t>
            </w:r>
          </w:p>
        </w:tc>
        <w:tc>
          <w:tcPr>
            <w:tcW w:w="4050" w:type="dxa"/>
            <w:tcBorders>
              <w:top w:val="single" w:sz="8" w:space="0" w:color="4472C4"/>
              <w:left w:val="single" w:sz="8" w:space="0" w:color="4472C4"/>
              <w:bottom w:val="single" w:sz="8" w:space="0" w:color="4472C4"/>
              <w:right w:val="single" w:sz="8" w:space="0" w:color="4472C4"/>
            </w:tcBorders>
            <w:shd w:val="clear" w:color="auto" w:fill="CFD5EA"/>
            <w:tcMar>
              <w:top w:w="21" w:type="dxa"/>
              <w:left w:w="21" w:type="dxa"/>
              <w:bottom w:w="21" w:type="dxa"/>
              <w:right w:w="21" w:type="dxa"/>
            </w:tcMar>
            <w:hideMark/>
          </w:tcPr>
          <w:p w:rsidR="00D665F9" w:rsidRPr="00081417" w:rsidRDefault="00D665F9" w:rsidP="00081417">
            <w:pPr>
              <w:spacing w:after="0" w:line="256" w:lineRule="auto"/>
              <w:rPr>
                <w:rFonts w:ascii="Arial" w:eastAsia="Times New Roman" w:hAnsi="Arial" w:cs="Arial"/>
                <w:szCs w:val="24"/>
              </w:rPr>
            </w:pPr>
            <w:r>
              <w:rPr>
                <w:rFonts w:ascii="Calibri" w:eastAsia="Times New Roman" w:hAnsi="Calibri" w:cs="Arial"/>
                <w:bCs/>
                <w:color w:val="000000"/>
                <w:kern w:val="24"/>
                <w:szCs w:val="24"/>
              </w:rPr>
              <w:t>O</w:t>
            </w:r>
            <w:r w:rsidRPr="00081417">
              <w:rPr>
                <w:rFonts w:ascii="Calibri" w:eastAsia="Times New Roman" w:hAnsi="Calibri" w:cs="Arial"/>
                <w:bCs/>
                <w:color w:val="000000"/>
                <w:kern w:val="24"/>
                <w:szCs w:val="24"/>
              </w:rPr>
              <w:t>pen-ended and may cover large amounts of course content.</w:t>
            </w:r>
          </w:p>
        </w:tc>
      </w:tr>
      <w:tr w:rsidR="00D665F9" w:rsidRPr="00081417" w:rsidTr="00D665F9">
        <w:trPr>
          <w:trHeight w:val="4380"/>
          <w:jc w:val="center"/>
        </w:trPr>
        <w:tc>
          <w:tcPr>
            <w:tcW w:w="1800" w:type="dxa"/>
            <w:tcBorders>
              <w:top w:val="single" w:sz="8" w:space="0" w:color="4472C4"/>
              <w:left w:val="single" w:sz="8" w:space="0" w:color="4472C4"/>
              <w:bottom w:val="single" w:sz="8" w:space="0" w:color="4472C4"/>
              <w:right w:val="single" w:sz="8" w:space="0" w:color="4472C4"/>
            </w:tcBorders>
            <w:shd w:val="clear" w:color="auto" w:fill="E9EBF5"/>
          </w:tcPr>
          <w:p w:rsidR="00D665F9" w:rsidRPr="00D665F9" w:rsidRDefault="00D665F9" w:rsidP="00081417">
            <w:pPr>
              <w:spacing w:after="0" w:line="256" w:lineRule="auto"/>
              <w:rPr>
                <w:rFonts w:ascii="Calibri" w:eastAsia="Times New Roman" w:hAnsi="Calibri" w:cs="Arial"/>
                <w:b/>
                <w:bCs/>
                <w:color w:val="000000"/>
                <w:kern w:val="24"/>
                <w:szCs w:val="24"/>
              </w:rPr>
            </w:pPr>
            <w:r w:rsidRPr="00D665F9">
              <w:rPr>
                <w:rFonts w:ascii="Calibri" w:eastAsia="Times New Roman" w:hAnsi="Calibri" w:cs="Arial"/>
                <w:b/>
                <w:bCs/>
                <w:color w:val="000000"/>
                <w:kern w:val="24"/>
                <w:szCs w:val="24"/>
              </w:rPr>
              <w:t>Process</w:t>
            </w:r>
          </w:p>
        </w:tc>
        <w:tc>
          <w:tcPr>
            <w:tcW w:w="387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hideMark/>
          </w:tcPr>
          <w:p w:rsidR="00D665F9" w:rsidRPr="00D665F9" w:rsidRDefault="00D665F9" w:rsidP="00D665F9">
            <w:pPr>
              <w:pStyle w:val="ListParagraph"/>
              <w:numPr>
                <w:ilvl w:val="0"/>
                <w:numId w:val="1"/>
              </w:numPr>
              <w:spacing w:after="0" w:line="256" w:lineRule="auto"/>
              <w:rPr>
                <w:rFonts w:ascii="Calibri" w:eastAsia="Times New Roman" w:hAnsi="Calibri" w:cs="Arial"/>
                <w:bCs/>
                <w:color w:val="000000"/>
                <w:kern w:val="24"/>
                <w:szCs w:val="24"/>
              </w:rPr>
            </w:pPr>
            <w:r w:rsidRPr="00D665F9">
              <w:rPr>
                <w:rFonts w:ascii="Calibri" w:eastAsia="Times New Roman" w:hAnsi="Calibri" w:cs="Arial"/>
                <w:bCs/>
                <w:color w:val="000000"/>
                <w:kern w:val="24"/>
                <w:szCs w:val="24"/>
              </w:rPr>
              <w:t>Multiple approaches to solving the problem are encouraged. There is no single "right" way to solve most problems, and all reasonable solutions or answers to the problem are honored.</w:t>
            </w:r>
          </w:p>
          <w:p w:rsidR="00D665F9" w:rsidRPr="00081417" w:rsidRDefault="00D665F9" w:rsidP="00D665F9">
            <w:pPr>
              <w:spacing w:after="0" w:line="256" w:lineRule="auto"/>
              <w:ind w:firstLine="45"/>
              <w:rPr>
                <w:rFonts w:ascii="Arial" w:eastAsia="Times New Roman" w:hAnsi="Arial" w:cs="Arial"/>
                <w:szCs w:val="24"/>
              </w:rPr>
            </w:pP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Individual students have an opportunity to explain and discuss their suggested solutions as well as their misconceptions.</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New understandings are developed by the individual, by the team, and, finally, by the whole class.</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Group and class discussions (and solutions) provide immediate feedback to the student.</w:t>
            </w:r>
          </w:p>
        </w:tc>
        <w:tc>
          <w:tcPr>
            <w:tcW w:w="423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hideMark/>
          </w:tcPr>
          <w:p w:rsidR="00D665F9" w:rsidRPr="00D665F9" w:rsidRDefault="00D665F9" w:rsidP="00D665F9">
            <w:pPr>
              <w:pStyle w:val="ListParagraph"/>
              <w:numPr>
                <w:ilvl w:val="0"/>
                <w:numId w:val="1"/>
              </w:numPr>
              <w:spacing w:after="0" w:line="256" w:lineRule="auto"/>
              <w:rPr>
                <w:rFonts w:ascii="Arial" w:eastAsia="Times New Roman" w:hAnsi="Arial" w:cs="Arial"/>
                <w:szCs w:val="24"/>
              </w:rPr>
            </w:pPr>
            <w:r w:rsidRPr="00D665F9">
              <w:rPr>
                <w:rFonts w:ascii="Calibri" w:eastAsia="Times New Roman" w:hAnsi="Calibri" w:cs="Arial"/>
                <w:bCs/>
                <w:color w:val="000000"/>
                <w:kern w:val="24"/>
                <w:szCs w:val="24"/>
              </w:rPr>
              <w:t xml:space="preserve">A team plan of operation and goals is specified, and teams are highly structured. Each student has a clearly defined role in the team such as recorder, questioner, and reporter. The teacher takes time to teach each student role. </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Team members share leadership within the framework of specific roles.</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All team members must contribute or the team cannot progress. (Teams "win or lose together.") The end product represents the entire team.</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The team focus is on cooperation as well as on achievement of goals. Awareness of the group process is as important as completing the task.</w:t>
            </w:r>
          </w:p>
        </w:tc>
        <w:tc>
          <w:tcPr>
            <w:tcW w:w="4050" w:type="dxa"/>
            <w:tcBorders>
              <w:top w:val="single" w:sz="8" w:space="0" w:color="4472C4"/>
              <w:left w:val="single" w:sz="8" w:space="0" w:color="4472C4"/>
              <w:bottom w:val="single" w:sz="8" w:space="0" w:color="4472C4"/>
              <w:right w:val="single" w:sz="8" w:space="0" w:color="4472C4"/>
            </w:tcBorders>
            <w:shd w:val="clear" w:color="auto" w:fill="E9EBF5"/>
            <w:tcMar>
              <w:top w:w="21" w:type="dxa"/>
              <w:left w:w="21" w:type="dxa"/>
              <w:bottom w:w="21" w:type="dxa"/>
              <w:right w:w="21" w:type="dxa"/>
            </w:tcMar>
            <w:hideMark/>
          </w:tcPr>
          <w:p w:rsidR="00D665F9" w:rsidRPr="00D665F9" w:rsidRDefault="00D665F9" w:rsidP="00D665F9">
            <w:pPr>
              <w:pStyle w:val="ListParagraph"/>
              <w:numPr>
                <w:ilvl w:val="0"/>
                <w:numId w:val="1"/>
              </w:numPr>
              <w:spacing w:after="0" w:line="256" w:lineRule="auto"/>
              <w:rPr>
                <w:rFonts w:ascii="Calibri" w:eastAsia="Times New Roman" w:hAnsi="Calibri" w:cs="Arial"/>
                <w:bCs/>
                <w:color w:val="000000"/>
                <w:kern w:val="24"/>
                <w:szCs w:val="24"/>
              </w:rPr>
            </w:pPr>
            <w:r w:rsidRPr="00D665F9">
              <w:rPr>
                <w:rFonts w:ascii="Calibri" w:eastAsia="Times New Roman" w:hAnsi="Calibri" w:cs="Arial"/>
                <w:bCs/>
                <w:color w:val="000000"/>
                <w:kern w:val="24"/>
                <w:szCs w:val="24"/>
              </w:rPr>
              <w:t xml:space="preserve">Student roles are flexible and may change throughout the project or assignment. Students observe (and help with) other students' work, and critique, evaluate, explain, and suggest ways for improvement. </w:t>
            </w:r>
          </w:p>
          <w:p w:rsidR="00D665F9" w:rsidRPr="00081417" w:rsidRDefault="00D665F9" w:rsidP="00D665F9">
            <w:pPr>
              <w:spacing w:after="0" w:line="256" w:lineRule="auto"/>
              <w:rPr>
                <w:rFonts w:ascii="Arial" w:eastAsia="Times New Roman" w:hAnsi="Arial" w:cs="Arial"/>
                <w:szCs w:val="24"/>
              </w:rPr>
            </w:pP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Open communication and multiple approaches are emphasized. All students are involved in honest discussion about ideas, procedures, experimental results, gathered information, interpretations, resource materials, and their own or other students' work.</w:t>
            </w:r>
          </w:p>
          <w:p w:rsidR="00D665F9" w:rsidRPr="00D665F9" w:rsidRDefault="00D665F9" w:rsidP="00D665F9">
            <w:pPr>
              <w:pStyle w:val="ListParagraph"/>
              <w:numPr>
                <w:ilvl w:val="0"/>
                <w:numId w:val="1"/>
              </w:numPr>
              <w:spacing w:line="256" w:lineRule="auto"/>
              <w:rPr>
                <w:rFonts w:ascii="Arial" w:eastAsia="Times New Roman" w:hAnsi="Arial" w:cs="Arial"/>
                <w:szCs w:val="24"/>
              </w:rPr>
            </w:pPr>
            <w:r w:rsidRPr="00D665F9">
              <w:rPr>
                <w:rFonts w:ascii="Calibri" w:eastAsia="Times New Roman" w:hAnsi="Calibri" w:cs="Arial"/>
                <w:bCs/>
                <w:color w:val="000000"/>
                <w:kern w:val="24"/>
                <w:szCs w:val="24"/>
              </w:rPr>
              <w:t>Students are constantly aware of the collaborative communication process, as well as the product or goals. They know they can change direction to meet goals.</w:t>
            </w:r>
          </w:p>
        </w:tc>
      </w:tr>
    </w:tbl>
    <w:p w:rsidR="00081417" w:rsidRDefault="00081417"/>
    <w:sectPr w:rsidR="00081417" w:rsidSect="00D665F9">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9149FC"/>
    <w:multiLevelType w:val="hybridMultilevel"/>
    <w:tmpl w:val="CDBA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417"/>
    <w:rsid w:val="00081417"/>
    <w:rsid w:val="008D7361"/>
    <w:rsid w:val="00D66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C5B900-1DDC-496B-B3EE-6B1F443D1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141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66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2</cp:revision>
  <dcterms:created xsi:type="dcterms:W3CDTF">2017-01-17T21:36:00Z</dcterms:created>
  <dcterms:modified xsi:type="dcterms:W3CDTF">2017-01-17T21:44:00Z</dcterms:modified>
</cp:coreProperties>
</file>